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7164CA0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CD4B3F">
        <w:rPr>
          <w:rFonts w:eastAsia="Arial Unicode MS"/>
          <w:b/>
        </w:rPr>
        <w:t>9</w:t>
      </w:r>
      <w:r w:rsidR="003D410F">
        <w:rPr>
          <w:rFonts w:eastAsia="Arial Unicode MS"/>
          <w:b/>
        </w:rPr>
        <w:t>9</w:t>
      </w:r>
    </w:p>
    <w:p w14:paraId="222DD452" w14:textId="7B988284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3D410F">
        <w:rPr>
          <w:rFonts w:eastAsia="Arial Unicode MS"/>
        </w:rPr>
        <w:t>40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0C68A9AA" w14:textId="6059676E" w:rsidR="003D410F" w:rsidRPr="003D410F" w:rsidRDefault="003D410F" w:rsidP="00A50C37">
      <w:pPr>
        <w:shd w:val="clear" w:color="auto" w:fill="FFFFFF"/>
        <w:suppressAutoHyphens/>
        <w:autoSpaceDN w:val="0"/>
        <w:jc w:val="both"/>
        <w:textAlignment w:val="baseline"/>
        <w:rPr>
          <w:rFonts w:eastAsia="Calibri" w:cs="Arial"/>
          <w:b/>
          <w:bCs/>
        </w:rPr>
      </w:pPr>
      <w:r w:rsidRPr="003D410F">
        <w:rPr>
          <w:rFonts w:eastAsia="Calibri" w:cs="Arial"/>
          <w:b/>
          <w:bCs/>
        </w:rPr>
        <w:t xml:space="preserve">Par </w:t>
      </w:r>
      <w:proofErr w:type="spellStart"/>
      <w:r w:rsidRPr="003D410F">
        <w:rPr>
          <w:rFonts w:eastAsia="Calibri" w:cs="Arial"/>
          <w:b/>
          <w:bCs/>
        </w:rPr>
        <w:t>lokālplānojuma</w:t>
      </w:r>
      <w:proofErr w:type="spellEnd"/>
      <w:r w:rsidRPr="003D410F">
        <w:rPr>
          <w:rFonts w:eastAsia="Calibri" w:cs="Arial"/>
          <w:b/>
          <w:bCs/>
        </w:rPr>
        <w:t xml:space="preserve"> teritorijas plānojuma grozījumiem "Zāģētava", Cesvaines pagastā, Madonas novadā, zemes vienībā ar kadastra apzīmējumu 7027 014 0143 funkcionālā zonējuma maiņai un tā vides pārskata 1.</w:t>
      </w:r>
      <w:r>
        <w:rPr>
          <w:rFonts w:eastAsia="Calibri" w:cs="Arial"/>
          <w:b/>
          <w:bCs/>
        </w:rPr>
        <w:t xml:space="preserve"> </w:t>
      </w:r>
      <w:r w:rsidRPr="003D410F">
        <w:rPr>
          <w:rFonts w:eastAsia="Calibri" w:cs="Arial"/>
          <w:b/>
          <w:bCs/>
        </w:rPr>
        <w:t>redakcijas nodošanu publiskai apspriešanai un atzinumu saņemšanai</w:t>
      </w:r>
    </w:p>
    <w:p w14:paraId="3A82F144" w14:textId="77777777" w:rsidR="003D410F" w:rsidRPr="003D410F" w:rsidRDefault="003D410F" w:rsidP="00A50C37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Calibri" w:cs="Arial"/>
        </w:rPr>
      </w:pPr>
    </w:p>
    <w:p w14:paraId="4C6E8E1A" w14:textId="77777777" w:rsidR="003D410F" w:rsidRPr="003D410F" w:rsidRDefault="003D410F" w:rsidP="00A50C37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bCs/>
        </w:rPr>
      </w:pPr>
      <w:r w:rsidRPr="003D410F">
        <w:rPr>
          <w:bCs/>
        </w:rPr>
        <w:t xml:space="preserve">Madonas novada pašvaldība ir izskatījusi </w:t>
      </w:r>
      <w:proofErr w:type="spellStart"/>
      <w:r w:rsidRPr="003D410F">
        <w:rPr>
          <w:bCs/>
        </w:rPr>
        <w:t>lokālplānojuma</w:t>
      </w:r>
      <w:proofErr w:type="spellEnd"/>
      <w:r w:rsidRPr="003D410F">
        <w:rPr>
          <w:bCs/>
        </w:rPr>
        <w:t xml:space="preserve"> izstrādātāja SIA „</w:t>
      </w:r>
      <w:proofErr w:type="spellStart"/>
      <w:r w:rsidRPr="003D410F">
        <w:rPr>
          <w:bCs/>
        </w:rPr>
        <w:t>Herbtaste</w:t>
      </w:r>
      <w:proofErr w:type="spellEnd"/>
      <w:r w:rsidRPr="003D410F">
        <w:rPr>
          <w:bCs/>
        </w:rPr>
        <w:t xml:space="preserve">”, </w:t>
      </w:r>
      <w:proofErr w:type="spellStart"/>
      <w:r w:rsidRPr="003D410F">
        <w:rPr>
          <w:bCs/>
        </w:rPr>
        <w:t>reģ</w:t>
      </w:r>
      <w:proofErr w:type="spellEnd"/>
      <w:r w:rsidRPr="003D410F">
        <w:rPr>
          <w:bCs/>
        </w:rPr>
        <w:t xml:space="preserve">. Nr. 45403057106, Madonas novada pašvaldībā iesniegto </w:t>
      </w:r>
      <w:proofErr w:type="spellStart"/>
      <w:r w:rsidRPr="003D410F">
        <w:rPr>
          <w:bCs/>
        </w:rPr>
        <w:t>lokālplānojuma</w:t>
      </w:r>
      <w:proofErr w:type="spellEnd"/>
      <w:r w:rsidRPr="003D410F">
        <w:rPr>
          <w:bCs/>
        </w:rPr>
        <w:t xml:space="preserve"> teritorijas plānojuma grozījumiem "Zāģētava", Cesvaines pagastā, Madonas novadā, zemes vienībā ar kadastra apzīmējumu 7027 014 0143 funkcionālā zonējuma maiņai un tā vides pārskata 1.redakciju.</w:t>
      </w:r>
      <w:bookmarkStart w:id="84" w:name="_Hlk135022013"/>
    </w:p>
    <w:p w14:paraId="484E5176" w14:textId="70CFC66F" w:rsidR="003D410F" w:rsidRPr="003D410F" w:rsidRDefault="003D410F" w:rsidP="00A50C37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bCs/>
        </w:rPr>
      </w:pPr>
      <w:r w:rsidRPr="003D410F">
        <w:rPr>
          <w:bCs/>
        </w:rPr>
        <w:t>Saskaņā ar Madonas novada domes 2023.</w:t>
      </w:r>
      <w:r w:rsidR="00A50C37">
        <w:rPr>
          <w:bCs/>
        </w:rPr>
        <w:t> </w:t>
      </w:r>
      <w:r w:rsidRPr="003D410F">
        <w:rPr>
          <w:bCs/>
        </w:rPr>
        <w:t>gada 29.</w:t>
      </w:r>
      <w:r w:rsidR="00A50C37">
        <w:rPr>
          <w:bCs/>
        </w:rPr>
        <w:t> </w:t>
      </w:r>
      <w:r w:rsidRPr="003D410F">
        <w:rPr>
          <w:bCs/>
        </w:rPr>
        <w:t>jūnija  lēmumu Nr.</w:t>
      </w:r>
      <w:r w:rsidR="00A50C37">
        <w:rPr>
          <w:bCs/>
        </w:rPr>
        <w:t> </w:t>
      </w:r>
      <w:r w:rsidRPr="003D410F">
        <w:rPr>
          <w:bCs/>
        </w:rPr>
        <w:t xml:space="preserve">386 „Par </w:t>
      </w:r>
      <w:proofErr w:type="spellStart"/>
      <w:r w:rsidRPr="003D410F">
        <w:rPr>
          <w:bCs/>
        </w:rPr>
        <w:t>lokālplānojuma</w:t>
      </w:r>
      <w:proofErr w:type="spellEnd"/>
      <w:r w:rsidRPr="003D410F">
        <w:rPr>
          <w:bCs/>
        </w:rPr>
        <w:t xml:space="preserve"> izstrādes uzsākšanu un darba uzdevuma apstiprināšanu teritorijas plānojuma grozījumiem nekustamajā īpašumā "Zāģētava", Cesvaines pagastā, Madonas novadā, zemes vienībā ar kadastra apzīmējumu 7027 014 0143 funkcionālā zonējuma grozīšanai” (protokols Nr.</w:t>
      </w:r>
      <w:r w:rsidR="00A50C37">
        <w:rPr>
          <w:bCs/>
        </w:rPr>
        <w:t> </w:t>
      </w:r>
      <w:r w:rsidRPr="003D410F">
        <w:rPr>
          <w:bCs/>
        </w:rPr>
        <w:t>9, 28.</w:t>
      </w:r>
      <w:r w:rsidR="00A50C37">
        <w:rPr>
          <w:bCs/>
        </w:rPr>
        <w:t> p.</w:t>
      </w:r>
      <w:r w:rsidRPr="003D410F">
        <w:rPr>
          <w:bCs/>
        </w:rPr>
        <w:t xml:space="preserve">), tika uzsākta </w:t>
      </w:r>
      <w:proofErr w:type="spellStart"/>
      <w:r w:rsidRPr="003D410F">
        <w:rPr>
          <w:bCs/>
        </w:rPr>
        <w:t>lokālplānojuma</w:t>
      </w:r>
      <w:proofErr w:type="spellEnd"/>
      <w:r w:rsidRPr="003D410F">
        <w:rPr>
          <w:bCs/>
        </w:rPr>
        <w:t xml:space="preserve"> izstrāde nekustamajam īpašumam "Zāģētava", Cesvaines pagastā, Madonas novadā, zemes vienībā ar kadastra apzīmējumu 7027 014 0143. </w:t>
      </w:r>
    </w:p>
    <w:p w14:paraId="7F9809C9" w14:textId="77777777" w:rsidR="003D410F" w:rsidRPr="003D410F" w:rsidRDefault="003D410F" w:rsidP="00A50C37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Calibri" w:cs="Calibri"/>
        </w:rPr>
      </w:pPr>
      <w:proofErr w:type="spellStart"/>
      <w:r w:rsidRPr="003D410F">
        <w:rPr>
          <w:rFonts w:eastAsia="Calibri" w:cs="Calibri"/>
        </w:rPr>
        <w:t>Lokālplānojums</w:t>
      </w:r>
      <w:proofErr w:type="spellEnd"/>
      <w:r w:rsidRPr="003D410F">
        <w:rPr>
          <w:rFonts w:eastAsia="Calibri" w:cs="Calibri"/>
        </w:rPr>
        <w:t xml:space="preserve"> izstrādāts, lai mainītu zemes vienības ar kadastra apzīmējumu </w:t>
      </w:r>
      <w:r w:rsidRPr="003D410F">
        <w:rPr>
          <w:bCs/>
        </w:rPr>
        <w:t xml:space="preserve">7027 014 0143 </w:t>
      </w:r>
      <w:r w:rsidRPr="003D410F">
        <w:rPr>
          <w:rFonts w:eastAsia="Calibri" w:cs="Calibri"/>
        </w:rPr>
        <w:t>funkcionālo zonējumu un teritorijas izmantošanas un apbūves noteikumus uz Rūpnieciskās ražošanas teritoriju (R), kurā paredzēta vieta ražošanas</w:t>
      </w:r>
      <w:r w:rsidRPr="003D410F">
        <w:rPr>
          <w:rFonts w:cstheme="minorBidi"/>
        </w:rPr>
        <w:t xml:space="preserve"> ēku un laukumu būvniecībai kokapstrādes ražotnei</w:t>
      </w:r>
      <w:r w:rsidRPr="003D410F">
        <w:rPr>
          <w:rFonts w:eastAsia="Calibri" w:cs="Calibri"/>
        </w:rPr>
        <w:t>.</w:t>
      </w:r>
      <w:bookmarkEnd w:id="84"/>
    </w:p>
    <w:p w14:paraId="06BC4FC5" w14:textId="756EB157" w:rsidR="003D410F" w:rsidRPr="003D410F" w:rsidRDefault="003D410F" w:rsidP="00A50C37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Calibri" w:cs="Arial"/>
        </w:rPr>
      </w:pPr>
      <w:proofErr w:type="spellStart"/>
      <w:r w:rsidRPr="003D410F">
        <w:rPr>
          <w:rFonts w:eastAsia="Calibri" w:cs="Calibri"/>
        </w:rPr>
        <w:t>Lokālplānojuma</w:t>
      </w:r>
      <w:proofErr w:type="spellEnd"/>
      <w:r w:rsidRPr="003D410F">
        <w:rPr>
          <w:rFonts w:eastAsia="Calibri" w:cs="Calibri"/>
        </w:rPr>
        <w:t xml:space="preserve"> izstrādes vadītājs sagatavojis Ziņojumu par izstrādātā </w:t>
      </w:r>
      <w:proofErr w:type="spellStart"/>
      <w:r w:rsidRPr="003D410F">
        <w:rPr>
          <w:rFonts w:eastAsia="Calibri" w:cs="Calibri"/>
        </w:rPr>
        <w:t>lokālplānojuma</w:t>
      </w:r>
      <w:proofErr w:type="spellEnd"/>
      <w:r w:rsidRPr="003D410F">
        <w:rPr>
          <w:rFonts w:eastAsia="Calibri" w:cs="Calibri"/>
        </w:rPr>
        <w:t xml:space="preserve"> un tā vides pārskata 1.</w:t>
      </w:r>
      <w:r w:rsidR="00A50C37">
        <w:rPr>
          <w:rFonts w:eastAsia="Calibri" w:cs="Calibri"/>
        </w:rPr>
        <w:t> </w:t>
      </w:r>
      <w:r w:rsidRPr="003D410F">
        <w:rPr>
          <w:rFonts w:eastAsia="Calibri" w:cs="Calibri"/>
        </w:rPr>
        <w:t>redakcijas turpmāko virzību. Izstrādes vadītāja ziņo, ka no darba uzdevumā norādītām institūcijām tika saņemti</w:t>
      </w:r>
      <w:r w:rsidRPr="003D410F">
        <w:rPr>
          <w:rFonts w:eastAsia="Calibri" w:cs="Arial"/>
        </w:rPr>
        <w:t xml:space="preserve"> nosacījumi </w:t>
      </w:r>
      <w:proofErr w:type="spellStart"/>
      <w:r w:rsidRPr="003D410F">
        <w:rPr>
          <w:rFonts w:eastAsia="Calibri" w:cs="Arial"/>
        </w:rPr>
        <w:t>lokālplānojuma</w:t>
      </w:r>
      <w:proofErr w:type="spellEnd"/>
      <w:r w:rsidRPr="003D410F">
        <w:rPr>
          <w:rFonts w:eastAsia="Calibri" w:cs="Arial"/>
        </w:rPr>
        <w:t xml:space="preserve"> izstrādei. Vides pārraudzības valsts birojs 05.01.2024. pieņēma lēmumu Nr. 4-02/2/2024 “Par stratēģiskā ietekmes uz vidi novērtējuma procedūras piemērošanu”.</w:t>
      </w:r>
    </w:p>
    <w:p w14:paraId="014CF3D7" w14:textId="32963FA8" w:rsidR="003D410F" w:rsidRPr="003D410F" w:rsidRDefault="003D410F" w:rsidP="00A50C37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Calibri" w:cs="Arial"/>
        </w:rPr>
      </w:pPr>
      <w:proofErr w:type="spellStart"/>
      <w:r w:rsidRPr="003D410F">
        <w:rPr>
          <w:rFonts w:eastAsia="Calibri" w:cs="Arial"/>
        </w:rPr>
        <w:t>Lokālplānojuma</w:t>
      </w:r>
      <w:proofErr w:type="spellEnd"/>
      <w:r w:rsidRPr="003D410F">
        <w:rPr>
          <w:rFonts w:eastAsia="Calibri" w:cs="Arial"/>
        </w:rPr>
        <w:t xml:space="preserve"> un tā vides pārskata 1.</w:t>
      </w:r>
      <w:r w:rsidR="00A50C37">
        <w:rPr>
          <w:rFonts w:eastAsia="Calibri" w:cs="Arial"/>
        </w:rPr>
        <w:t> </w:t>
      </w:r>
      <w:r w:rsidRPr="003D410F">
        <w:rPr>
          <w:rFonts w:eastAsia="Calibri" w:cs="Arial"/>
        </w:rPr>
        <w:t>redakcija ir ievietota sistēmā TAPIS un ir nododama publiskai apspriešanai un atzinumu saņemšanai.</w:t>
      </w:r>
    </w:p>
    <w:p w14:paraId="42714770" w14:textId="4FCCF475" w:rsidR="00B45619" w:rsidRDefault="003D410F" w:rsidP="00A50C37">
      <w:pPr>
        <w:ind w:firstLine="720"/>
        <w:jc w:val="both"/>
        <w:rPr>
          <w:b/>
          <w:lang w:eastAsia="lo-LA" w:bidi="lo-LA"/>
        </w:rPr>
      </w:pPr>
      <w:r w:rsidRPr="003D410F">
        <w:rPr>
          <w:rFonts w:eastAsia="Calibri"/>
          <w:lang w:eastAsia="en-US"/>
        </w:rPr>
        <w:t>Ņemot vērā augstāk minēto, pamatojoties uz Pašvaldību likuma 10. panta pirmās daļas 21. punktu, Administratīvā procesa likuma 63. panta pirmās daļas 1.</w:t>
      </w:r>
      <w:r w:rsidR="00A50C37">
        <w:rPr>
          <w:rFonts w:eastAsia="Calibri"/>
          <w:lang w:eastAsia="en-US"/>
        </w:rPr>
        <w:t> </w:t>
      </w:r>
      <w:r w:rsidRPr="003D410F">
        <w:rPr>
          <w:rFonts w:eastAsia="Calibri"/>
          <w:lang w:eastAsia="en-US"/>
        </w:rPr>
        <w:t>punktu, Ministru kabineta 2014.</w:t>
      </w:r>
      <w:r w:rsidR="00A50C37">
        <w:rPr>
          <w:rFonts w:eastAsia="Calibri"/>
          <w:lang w:eastAsia="en-US"/>
        </w:rPr>
        <w:t> </w:t>
      </w:r>
      <w:r w:rsidRPr="003D410F">
        <w:rPr>
          <w:rFonts w:eastAsia="Calibri"/>
          <w:lang w:eastAsia="en-US"/>
        </w:rPr>
        <w:t>gada 14.</w:t>
      </w:r>
      <w:r w:rsidR="00A50C37">
        <w:rPr>
          <w:rFonts w:eastAsia="Calibri"/>
          <w:lang w:eastAsia="en-US"/>
        </w:rPr>
        <w:t> </w:t>
      </w:r>
      <w:r w:rsidRPr="003D410F">
        <w:rPr>
          <w:rFonts w:eastAsia="Calibri"/>
          <w:lang w:eastAsia="en-US"/>
        </w:rPr>
        <w:t>oktobra noteikumu Nr.</w:t>
      </w:r>
      <w:r w:rsidR="00A50C37">
        <w:rPr>
          <w:rFonts w:eastAsia="Calibri"/>
          <w:lang w:eastAsia="en-US"/>
        </w:rPr>
        <w:t> </w:t>
      </w:r>
      <w:r w:rsidRPr="003D410F">
        <w:rPr>
          <w:rFonts w:eastAsia="Calibri"/>
          <w:lang w:eastAsia="en-US"/>
        </w:rPr>
        <w:t>628 „Noteikumi par pašvaldību teritorijas attīstības plānošanas dokumentiem” 5</w:t>
      </w:r>
      <w:r w:rsidRPr="003D410F">
        <w:rPr>
          <w:rFonts w:eastAsia="Calibri"/>
          <w:vertAlign w:val="superscript"/>
          <w:lang w:eastAsia="en-US"/>
        </w:rPr>
        <w:t>1</w:t>
      </w:r>
      <w:r w:rsidRPr="003D410F">
        <w:rPr>
          <w:rFonts w:eastAsia="Calibri"/>
          <w:lang w:eastAsia="en-US"/>
        </w:rPr>
        <w:t>.1. 16., 80., 81., 82., 83., 84. un 85. punktiem, ņemot vērā 14.02.2024. Uzņēmējdarbības, teritoriālo un vides jautājumu komitejas atzinumu,</w:t>
      </w:r>
      <w:r w:rsidR="00B45619">
        <w:rPr>
          <w:rFonts w:eastAsia="Calibri"/>
          <w:lang w:eastAsia="en-US"/>
        </w:rPr>
        <w:t xml:space="preserve"> </w:t>
      </w:r>
      <w:r w:rsidR="00B45619">
        <w:rPr>
          <w:lang w:eastAsia="lo-LA" w:bidi="lo-LA"/>
        </w:rPr>
        <w:t>atklāti balsojot</w:t>
      </w:r>
      <w:r w:rsidR="00B45619">
        <w:rPr>
          <w:b/>
          <w:lang w:eastAsia="lo-LA" w:bidi="lo-LA"/>
        </w:rPr>
        <w:t xml:space="preserve">: PAR -  </w:t>
      </w:r>
      <w:r w:rsidR="00B45619">
        <w:rPr>
          <w:rFonts w:eastAsia="Calibri"/>
          <w:b/>
          <w:noProof/>
          <w:lang w:eastAsia="en-US"/>
        </w:rPr>
        <w:t xml:space="preserve">14 </w:t>
      </w:r>
      <w:r w:rsidR="00B45619">
        <w:rPr>
          <w:rFonts w:eastAsia="Calibri"/>
          <w:bCs/>
          <w:noProof/>
          <w:lang w:eastAsia="en-US"/>
        </w:rPr>
        <w:t>(</w:t>
      </w:r>
      <w:r w:rsidR="00B45619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B45619">
        <w:rPr>
          <w:rFonts w:eastAsia="Calibri"/>
          <w:bCs/>
          <w:noProof/>
          <w:lang w:eastAsia="en-US"/>
        </w:rPr>
        <w:t xml:space="preserve">), </w:t>
      </w:r>
      <w:r w:rsidR="00B45619">
        <w:rPr>
          <w:b/>
          <w:lang w:eastAsia="lo-LA" w:bidi="lo-LA"/>
        </w:rPr>
        <w:t>PRET - NAV, ATTURAS - NAV</w:t>
      </w:r>
      <w:r w:rsidR="00B45619">
        <w:rPr>
          <w:lang w:eastAsia="lo-LA" w:bidi="lo-LA"/>
        </w:rPr>
        <w:t xml:space="preserve">, Madonas novada pašvaldības dome </w:t>
      </w:r>
      <w:r w:rsidR="00B45619">
        <w:rPr>
          <w:b/>
          <w:lang w:eastAsia="lo-LA" w:bidi="lo-LA"/>
        </w:rPr>
        <w:t>NOLEMJ</w:t>
      </w:r>
      <w:r w:rsidR="00B45619">
        <w:rPr>
          <w:lang w:eastAsia="lo-LA" w:bidi="lo-LA"/>
        </w:rPr>
        <w:t>:</w:t>
      </w:r>
    </w:p>
    <w:p w14:paraId="5D281067" w14:textId="0ECE7C71" w:rsidR="003D410F" w:rsidRPr="00B45619" w:rsidRDefault="003D410F" w:rsidP="00A50C37">
      <w:pPr>
        <w:pStyle w:val="Sarakstarindkopa"/>
        <w:numPr>
          <w:ilvl w:val="0"/>
          <w:numId w:val="30"/>
        </w:numPr>
        <w:shd w:val="clear" w:color="auto" w:fill="FFFFFF"/>
        <w:suppressAutoHyphens/>
        <w:autoSpaceDN w:val="0"/>
        <w:ind w:left="709" w:hanging="709"/>
        <w:jc w:val="both"/>
        <w:textAlignment w:val="baseline"/>
        <w:rPr>
          <w:rFonts w:eastAsia="Calibri" w:cs="Arial"/>
        </w:rPr>
      </w:pPr>
      <w:r w:rsidRPr="00B45619">
        <w:rPr>
          <w:rFonts w:eastAsia="Calibri" w:cs="Arial"/>
        </w:rPr>
        <w:lastRenderedPageBreak/>
        <w:t xml:space="preserve">Nodot </w:t>
      </w:r>
      <w:proofErr w:type="spellStart"/>
      <w:r w:rsidRPr="00B45619">
        <w:rPr>
          <w:rFonts w:eastAsia="Calibri" w:cs="Arial"/>
        </w:rPr>
        <w:t>lokālplānojuma</w:t>
      </w:r>
      <w:proofErr w:type="spellEnd"/>
      <w:r w:rsidRPr="00B45619">
        <w:rPr>
          <w:rFonts w:eastAsia="Calibri" w:cs="Arial"/>
        </w:rPr>
        <w:t xml:space="preserve"> teritorijas plānojuma grozījumiem </w:t>
      </w:r>
      <w:r w:rsidRPr="00B45619">
        <w:rPr>
          <w:bCs/>
        </w:rPr>
        <w:t>"Zāģētava", Cesvaines pagastā, Madonas novadā, zemes vienībā ar kadastra apzīmējumu 7027 014 0143 funkcionālā zonējuma maiņai un tā vides pārskata 1.redakciju</w:t>
      </w:r>
      <w:r w:rsidRPr="00B45619">
        <w:rPr>
          <w:rFonts w:eastAsia="Calibri" w:cs="Arial"/>
        </w:rPr>
        <w:t xml:space="preserve">  publiskai apspriešanai un institūciju atzinumu saņemšanai.</w:t>
      </w:r>
    </w:p>
    <w:p w14:paraId="650A1715" w14:textId="3E292793" w:rsidR="003D410F" w:rsidRPr="003D410F" w:rsidRDefault="003D410F" w:rsidP="00A50C37">
      <w:pPr>
        <w:numPr>
          <w:ilvl w:val="0"/>
          <w:numId w:val="30"/>
        </w:numPr>
        <w:shd w:val="clear" w:color="auto" w:fill="FFFFFF"/>
        <w:suppressAutoHyphens/>
        <w:autoSpaceDN w:val="0"/>
        <w:ind w:left="709" w:hanging="709"/>
        <w:jc w:val="both"/>
        <w:textAlignment w:val="baseline"/>
        <w:rPr>
          <w:rFonts w:eastAsia="Calibri" w:cs="Arial"/>
        </w:rPr>
      </w:pPr>
      <w:r w:rsidRPr="003D410F">
        <w:rPr>
          <w:rFonts w:eastAsia="Calibri" w:cs="Arial"/>
        </w:rPr>
        <w:t xml:space="preserve">Noteikt </w:t>
      </w:r>
      <w:proofErr w:type="spellStart"/>
      <w:r w:rsidRPr="003D410F">
        <w:rPr>
          <w:rFonts w:eastAsia="Calibri" w:cs="Arial"/>
        </w:rPr>
        <w:t>lokālplānojuma</w:t>
      </w:r>
      <w:proofErr w:type="spellEnd"/>
      <w:r w:rsidRPr="003D410F">
        <w:rPr>
          <w:rFonts w:eastAsia="Calibri" w:cs="Arial"/>
        </w:rPr>
        <w:t xml:space="preserve"> un tā vides pārskata 1.</w:t>
      </w:r>
      <w:r w:rsidR="000E1CE5">
        <w:rPr>
          <w:rFonts w:eastAsia="Calibri" w:cs="Arial"/>
        </w:rPr>
        <w:t> </w:t>
      </w:r>
      <w:r w:rsidRPr="003D410F">
        <w:rPr>
          <w:rFonts w:eastAsia="Calibri" w:cs="Arial"/>
        </w:rPr>
        <w:t xml:space="preserve">redakcijas neklātienes (attālinātās) publiskās apspriešanas laiku ne īsāku par četrām nedēļām. </w:t>
      </w:r>
    </w:p>
    <w:p w14:paraId="4F246E66" w14:textId="4BDFFC0E" w:rsidR="003D410F" w:rsidRPr="003D410F" w:rsidRDefault="003D410F" w:rsidP="00A50C37">
      <w:pPr>
        <w:numPr>
          <w:ilvl w:val="0"/>
          <w:numId w:val="30"/>
        </w:numPr>
        <w:shd w:val="clear" w:color="auto" w:fill="FFFFFF"/>
        <w:suppressAutoHyphens/>
        <w:autoSpaceDN w:val="0"/>
        <w:ind w:left="709" w:hanging="709"/>
        <w:jc w:val="both"/>
        <w:textAlignment w:val="baseline"/>
        <w:rPr>
          <w:rFonts w:eastAsia="Calibri" w:cs="Arial"/>
        </w:rPr>
      </w:pPr>
      <w:r w:rsidRPr="003D410F">
        <w:rPr>
          <w:rFonts w:eastAsia="Calibri" w:cs="Arial"/>
        </w:rPr>
        <w:t xml:space="preserve">Paziņojumus par </w:t>
      </w:r>
      <w:proofErr w:type="spellStart"/>
      <w:r w:rsidRPr="003D410F">
        <w:rPr>
          <w:rFonts w:eastAsia="Calibri" w:cs="Arial"/>
        </w:rPr>
        <w:t>lokālplānojuma</w:t>
      </w:r>
      <w:proofErr w:type="spellEnd"/>
      <w:r w:rsidRPr="003D410F">
        <w:rPr>
          <w:rFonts w:eastAsia="Calibri" w:cs="Arial"/>
        </w:rPr>
        <w:t xml:space="preserve"> 1.</w:t>
      </w:r>
      <w:r w:rsidR="000E1CE5">
        <w:rPr>
          <w:rFonts w:eastAsia="Calibri" w:cs="Arial"/>
        </w:rPr>
        <w:t> </w:t>
      </w:r>
      <w:r w:rsidRPr="003D410F">
        <w:rPr>
          <w:rFonts w:eastAsia="Calibri" w:cs="Arial"/>
        </w:rPr>
        <w:t xml:space="preserve">redakcijas publisko apspriešanu publicēt pašvaldības mājaslapā </w:t>
      </w:r>
      <w:hyperlink r:id="rId8" w:history="1">
        <w:r w:rsidRPr="003D410F">
          <w:rPr>
            <w:rFonts w:eastAsia="Calibri" w:cs="Arial"/>
            <w:color w:val="0563C1" w:themeColor="hyperlink"/>
            <w:u w:val="single"/>
          </w:rPr>
          <w:t>www.madona.lv</w:t>
        </w:r>
      </w:hyperlink>
      <w:r w:rsidRPr="003D410F">
        <w:rPr>
          <w:rFonts w:eastAsia="Calibri" w:cs="Arial"/>
        </w:rPr>
        <w:t>, pašvaldības informatīvajā izdevumā ” Madonas Novada Vēstnesis”  un ievietot TAPIS sistēmā.</w:t>
      </w:r>
    </w:p>
    <w:p w14:paraId="43AC1CDD" w14:textId="77777777" w:rsidR="003D410F" w:rsidRPr="003D410F" w:rsidRDefault="003D410F" w:rsidP="00A50C37">
      <w:pPr>
        <w:numPr>
          <w:ilvl w:val="0"/>
          <w:numId w:val="30"/>
        </w:numPr>
        <w:shd w:val="clear" w:color="auto" w:fill="FFFFFF"/>
        <w:suppressAutoHyphens/>
        <w:autoSpaceDN w:val="0"/>
        <w:ind w:left="709" w:hanging="709"/>
        <w:jc w:val="both"/>
        <w:textAlignment w:val="baseline"/>
        <w:rPr>
          <w:rFonts w:eastAsia="Calibri" w:cs="Arial"/>
        </w:rPr>
      </w:pPr>
      <w:r w:rsidRPr="003D410F">
        <w:rPr>
          <w:rFonts w:eastAsia="Calibri" w:cs="Arial"/>
        </w:rPr>
        <w:t xml:space="preserve">Uzdot </w:t>
      </w:r>
      <w:proofErr w:type="spellStart"/>
      <w:r w:rsidRPr="003D410F">
        <w:rPr>
          <w:rFonts w:eastAsia="Calibri" w:cs="Arial"/>
        </w:rPr>
        <w:t>lokālplānojuma</w:t>
      </w:r>
      <w:proofErr w:type="spellEnd"/>
      <w:r w:rsidRPr="003D410F">
        <w:rPr>
          <w:rFonts w:eastAsia="Calibri" w:cs="Arial"/>
        </w:rPr>
        <w:t xml:space="preserve"> izstrādes vadītājam kontrolēt lēmuma izpildi.</w:t>
      </w:r>
    </w:p>
    <w:p w14:paraId="3CDC3402" w14:textId="77777777" w:rsidR="003D410F" w:rsidRPr="003D410F" w:rsidRDefault="003D410F" w:rsidP="00A50C37">
      <w:pPr>
        <w:shd w:val="clear" w:color="auto" w:fill="FFFFFF"/>
        <w:suppressAutoHyphens/>
        <w:autoSpaceDN w:val="0"/>
        <w:ind w:left="709" w:hanging="709"/>
        <w:jc w:val="both"/>
        <w:textAlignment w:val="baseline"/>
        <w:rPr>
          <w:rFonts w:eastAsia="Calibri" w:cs="Arial"/>
        </w:rPr>
      </w:pPr>
    </w:p>
    <w:p w14:paraId="66C415E1" w14:textId="77777777" w:rsidR="003D410F" w:rsidRPr="003D410F" w:rsidRDefault="003D410F" w:rsidP="00A50C37">
      <w:pPr>
        <w:shd w:val="clear" w:color="auto" w:fill="FFFFFF"/>
        <w:suppressAutoHyphens/>
        <w:autoSpaceDN w:val="0"/>
        <w:ind w:left="357"/>
        <w:jc w:val="both"/>
        <w:textAlignment w:val="baseline"/>
        <w:rPr>
          <w:rFonts w:eastAsia="Calibri" w:cs="Arial"/>
        </w:rPr>
      </w:pP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p w14:paraId="65338DA6" w14:textId="77777777" w:rsidR="007912BC" w:rsidRDefault="007912BC" w:rsidP="00A50C37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A50C37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A50C37">
      <w:pPr>
        <w:jc w:val="both"/>
      </w:pPr>
    </w:p>
    <w:p w14:paraId="4AECFC4C" w14:textId="66DBC2A2" w:rsidR="00D556C8" w:rsidRDefault="00D556C8" w:rsidP="00A50C37">
      <w:pPr>
        <w:jc w:val="both"/>
      </w:pPr>
    </w:p>
    <w:p w14:paraId="17C6A482" w14:textId="77777777" w:rsidR="005A0266" w:rsidRDefault="005A0266" w:rsidP="00A50C37">
      <w:pPr>
        <w:jc w:val="both"/>
      </w:pPr>
    </w:p>
    <w:p w14:paraId="597C5856" w14:textId="77777777" w:rsidR="003D410F" w:rsidRPr="003D410F" w:rsidRDefault="003D410F" w:rsidP="00A50C37">
      <w:pPr>
        <w:shd w:val="clear" w:color="auto" w:fill="FFFFFF"/>
        <w:suppressAutoHyphens/>
        <w:autoSpaceDN w:val="0"/>
        <w:jc w:val="both"/>
        <w:textAlignment w:val="baseline"/>
        <w:rPr>
          <w:rFonts w:eastAsia="Calibri" w:cs="Arial"/>
          <w:i/>
          <w:iCs/>
        </w:rPr>
      </w:pPr>
      <w:r w:rsidRPr="003D410F">
        <w:rPr>
          <w:rFonts w:eastAsia="Calibri" w:cs="Arial"/>
          <w:i/>
          <w:iCs/>
        </w:rPr>
        <w:t>Vucāne 20228813</w:t>
      </w:r>
    </w:p>
    <w:p w14:paraId="00A4042A" w14:textId="6B11F45D" w:rsidR="001C5D95" w:rsidRPr="001C5D95" w:rsidRDefault="001C5D95" w:rsidP="00A50C37">
      <w:pPr>
        <w:jc w:val="both"/>
        <w:rPr>
          <w:i/>
        </w:rPr>
      </w:pPr>
    </w:p>
    <w:sectPr w:rsidR="001C5D95" w:rsidRPr="001C5D95" w:rsidSect="005A0266">
      <w:footerReference w:type="default" r:id="rId9"/>
      <w:footerReference w:type="first" r:id="rId10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AF08" w14:textId="77777777" w:rsidR="00641F34" w:rsidRDefault="00641F34" w:rsidP="000509C7">
      <w:r>
        <w:separator/>
      </w:r>
    </w:p>
  </w:endnote>
  <w:endnote w:type="continuationSeparator" w:id="0">
    <w:p w14:paraId="3FF7A30B" w14:textId="77777777" w:rsidR="00641F34" w:rsidRDefault="00641F34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8F27" w14:textId="76327C4D" w:rsidR="001C5D95" w:rsidRDefault="001C5D95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FCB5" w14:textId="77777777" w:rsidR="00641F34" w:rsidRDefault="00641F34" w:rsidP="000509C7">
      <w:r>
        <w:separator/>
      </w:r>
    </w:p>
  </w:footnote>
  <w:footnote w:type="continuationSeparator" w:id="0">
    <w:p w14:paraId="3CA0198A" w14:textId="77777777" w:rsidR="00641F34" w:rsidRDefault="00641F34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32E92"/>
    <w:multiLevelType w:val="hybridMultilevel"/>
    <w:tmpl w:val="5652DB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7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6"/>
  </w:num>
  <w:num w:numId="5">
    <w:abstractNumId w:val="20"/>
  </w:num>
  <w:num w:numId="6">
    <w:abstractNumId w:val="14"/>
  </w:num>
  <w:num w:numId="7">
    <w:abstractNumId w:val="12"/>
  </w:num>
  <w:num w:numId="8">
    <w:abstractNumId w:val="3"/>
  </w:num>
  <w:num w:numId="9">
    <w:abstractNumId w:val="28"/>
  </w:num>
  <w:num w:numId="10">
    <w:abstractNumId w:val="10"/>
  </w:num>
  <w:num w:numId="11">
    <w:abstractNumId w:val="7"/>
  </w:num>
  <w:num w:numId="12">
    <w:abstractNumId w:val="8"/>
  </w:num>
  <w:num w:numId="13">
    <w:abstractNumId w:val="27"/>
  </w:num>
  <w:num w:numId="14">
    <w:abstractNumId w:val="2"/>
  </w:num>
  <w:num w:numId="15">
    <w:abstractNumId w:val="13"/>
  </w:num>
  <w:num w:numId="16">
    <w:abstractNumId w:val="21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6"/>
  </w:num>
  <w:num w:numId="20">
    <w:abstractNumId w:val="4"/>
  </w:num>
  <w:num w:numId="21">
    <w:abstractNumId w:val="0"/>
  </w:num>
  <w:num w:numId="22">
    <w:abstractNumId w:val="16"/>
  </w:num>
  <w:num w:numId="23">
    <w:abstractNumId w:val="5"/>
  </w:num>
  <w:num w:numId="24">
    <w:abstractNumId w:val="23"/>
  </w:num>
  <w:num w:numId="25">
    <w:abstractNumId w:val="17"/>
  </w:num>
  <w:num w:numId="26">
    <w:abstractNumId w:val="22"/>
  </w:num>
  <w:num w:numId="27">
    <w:abstractNumId w:val="1"/>
  </w:num>
  <w:num w:numId="28">
    <w:abstractNumId w:val="9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E1CE5"/>
    <w:rsid w:val="000E31E2"/>
    <w:rsid w:val="000E6259"/>
    <w:rsid w:val="00136C8F"/>
    <w:rsid w:val="001578A1"/>
    <w:rsid w:val="001B3896"/>
    <w:rsid w:val="001B6164"/>
    <w:rsid w:val="001C2093"/>
    <w:rsid w:val="001C5D95"/>
    <w:rsid w:val="00203C9D"/>
    <w:rsid w:val="0022730E"/>
    <w:rsid w:val="00266814"/>
    <w:rsid w:val="002830B2"/>
    <w:rsid w:val="002A79F1"/>
    <w:rsid w:val="0033656B"/>
    <w:rsid w:val="0035674C"/>
    <w:rsid w:val="00373D29"/>
    <w:rsid w:val="00393FAB"/>
    <w:rsid w:val="003B48C6"/>
    <w:rsid w:val="003D410F"/>
    <w:rsid w:val="003D6630"/>
    <w:rsid w:val="003F4039"/>
    <w:rsid w:val="004067A5"/>
    <w:rsid w:val="00412720"/>
    <w:rsid w:val="00466484"/>
    <w:rsid w:val="004908B3"/>
    <w:rsid w:val="004D5EE6"/>
    <w:rsid w:val="004F5D43"/>
    <w:rsid w:val="00535B47"/>
    <w:rsid w:val="005808A6"/>
    <w:rsid w:val="005A0266"/>
    <w:rsid w:val="005D50C1"/>
    <w:rsid w:val="005D6177"/>
    <w:rsid w:val="005F36B8"/>
    <w:rsid w:val="00641F34"/>
    <w:rsid w:val="0068273A"/>
    <w:rsid w:val="006C0FFA"/>
    <w:rsid w:val="006F68E7"/>
    <w:rsid w:val="0070193C"/>
    <w:rsid w:val="00735435"/>
    <w:rsid w:val="0076526A"/>
    <w:rsid w:val="007733FA"/>
    <w:rsid w:val="007912BC"/>
    <w:rsid w:val="007E02F8"/>
    <w:rsid w:val="00820BE0"/>
    <w:rsid w:val="00822FF0"/>
    <w:rsid w:val="008B0EF4"/>
    <w:rsid w:val="008F33D3"/>
    <w:rsid w:val="00912A4B"/>
    <w:rsid w:val="0091494C"/>
    <w:rsid w:val="00926ADD"/>
    <w:rsid w:val="00952317"/>
    <w:rsid w:val="009A0BE0"/>
    <w:rsid w:val="009B556F"/>
    <w:rsid w:val="00A0089D"/>
    <w:rsid w:val="00A078F0"/>
    <w:rsid w:val="00A45647"/>
    <w:rsid w:val="00A50C37"/>
    <w:rsid w:val="00A60A94"/>
    <w:rsid w:val="00AB72CE"/>
    <w:rsid w:val="00AD3616"/>
    <w:rsid w:val="00AF3E2C"/>
    <w:rsid w:val="00AF6056"/>
    <w:rsid w:val="00B45619"/>
    <w:rsid w:val="00BA2362"/>
    <w:rsid w:val="00BA599D"/>
    <w:rsid w:val="00BC6777"/>
    <w:rsid w:val="00C00F73"/>
    <w:rsid w:val="00C32EA5"/>
    <w:rsid w:val="00C4230F"/>
    <w:rsid w:val="00C84D08"/>
    <w:rsid w:val="00CD4B3F"/>
    <w:rsid w:val="00D556C8"/>
    <w:rsid w:val="00D82354"/>
    <w:rsid w:val="00D95E0B"/>
    <w:rsid w:val="00DA54C7"/>
    <w:rsid w:val="00DB0950"/>
    <w:rsid w:val="00DB2627"/>
    <w:rsid w:val="00DC01BB"/>
    <w:rsid w:val="00DC6FBF"/>
    <w:rsid w:val="00DE784A"/>
    <w:rsid w:val="00E01F1A"/>
    <w:rsid w:val="00E16DFE"/>
    <w:rsid w:val="00E3063B"/>
    <w:rsid w:val="00E73AE1"/>
    <w:rsid w:val="00E92369"/>
    <w:rsid w:val="00EA3AAF"/>
    <w:rsid w:val="00ED36C0"/>
    <w:rsid w:val="00EF3036"/>
    <w:rsid w:val="00F665EC"/>
    <w:rsid w:val="00F92EF2"/>
    <w:rsid w:val="00F9314C"/>
    <w:rsid w:val="00FA2599"/>
    <w:rsid w:val="00FB7DEE"/>
    <w:rsid w:val="00FC3C36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47</cp:revision>
  <cp:lastPrinted>2024-02-20T07:32:00Z</cp:lastPrinted>
  <dcterms:created xsi:type="dcterms:W3CDTF">2024-02-20T07:30:00Z</dcterms:created>
  <dcterms:modified xsi:type="dcterms:W3CDTF">2024-03-01T12:12:00Z</dcterms:modified>
</cp:coreProperties>
</file>